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DB1" w:rsidRDefault="00EE35AA">
      <w:r>
        <w:t>“... quando o poder espiritual supera o material, tudo bem, nós estamos bem, agora, quando o poder material supera o espiritual, sabe Deus aonde podemos chegar, até onde nossa fé poderá sustentar a bandeira rósea do amor incondicional. Enquanto houver o ouro e a prata ao alcance de todos ninguém dará valor ao supremo astral que espera pacientemente a reação de cada um dentro de sua individualidade. Então, saboreiem tudo o que lhes resta deste terceiro plano, porque da terra nada levarão, nem um centavo sequer, e quando do outro lado estiverem vejam tudo o que conquistaram na terra, se for merecimento, Salve Deus, se não for, a vossa consciência o chamará a razão, pois ela é a sua sentença”. Adjunto Apurê – 25.04.2008</w:t>
      </w:r>
    </w:p>
    <w:p w:rsidR="00EE35AA" w:rsidRDefault="00EE35AA"/>
    <w:sectPr w:rsidR="00EE35AA" w:rsidSect="00502D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5AA"/>
    <w:rsid w:val="00502DB1"/>
    <w:rsid w:val="00EE3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D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615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2008-04-25T22:03:00Z</dcterms:created>
  <dcterms:modified xsi:type="dcterms:W3CDTF">2008-04-25T22:20:00Z</dcterms:modified>
</cp:coreProperties>
</file>